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44" w:rsidRPr="008D1D16" w:rsidRDefault="00574144" w:rsidP="00574144">
      <w:pPr>
        <w:rPr>
          <w:rFonts w:cstheme="minorHAnsi"/>
        </w:rPr>
      </w:pPr>
      <w:bookmarkStart w:id="0" w:name="_GoBack"/>
      <w:bookmarkEnd w:id="0"/>
      <w:r w:rsidRPr="008D1D1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ED130" wp14:editId="301BE9B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464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44" w:rsidRPr="0092190C" w:rsidRDefault="00574144" w:rsidP="0019151E">
                            <w:pPr>
                              <w:jc w:val="center"/>
                              <w:rPr>
                                <w:b/>
                                <w:color w:val="EA5D4E"/>
                                <w:sz w:val="52"/>
                                <w:szCs w:val="52"/>
                              </w:rPr>
                            </w:pPr>
                            <w:r w:rsidRPr="0092190C">
                              <w:rPr>
                                <w:b/>
                                <w:color w:val="EA5D4E"/>
                                <w:sz w:val="52"/>
                                <w:szCs w:val="52"/>
                              </w:rPr>
                              <w:t>SurgTech 2022</w:t>
                            </w:r>
                          </w:p>
                          <w:p w:rsidR="00574144" w:rsidRPr="0092190C" w:rsidRDefault="00574144" w:rsidP="0019151E">
                            <w:pPr>
                              <w:spacing w:after="0"/>
                              <w:jc w:val="center"/>
                              <w:rPr>
                                <w:color w:val="193E72"/>
                                <w:sz w:val="28"/>
                                <w:szCs w:val="28"/>
                              </w:rPr>
                            </w:pPr>
                            <w:r w:rsidRPr="0092190C">
                              <w:rPr>
                                <w:color w:val="193E72"/>
                                <w:sz w:val="28"/>
                                <w:szCs w:val="28"/>
                              </w:rPr>
                              <w:t>Smart, Digital, Sustainable</w:t>
                            </w:r>
                          </w:p>
                          <w:p w:rsidR="00574144" w:rsidRPr="0092190C" w:rsidRDefault="00574144" w:rsidP="0019151E">
                            <w:pPr>
                              <w:spacing w:after="0"/>
                              <w:jc w:val="center"/>
                              <w:rPr>
                                <w:color w:val="193E72"/>
                                <w:sz w:val="28"/>
                                <w:szCs w:val="28"/>
                              </w:rPr>
                            </w:pPr>
                            <w:r w:rsidRPr="0092190C">
                              <w:rPr>
                                <w:color w:val="193E72"/>
                                <w:sz w:val="28"/>
                                <w:szCs w:val="28"/>
                              </w:rPr>
                              <w:t>Wednesday 23</w:t>
                            </w:r>
                            <w:r w:rsidRPr="0092190C">
                              <w:rPr>
                                <w:color w:val="193E72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19151E">
                              <w:rPr>
                                <w:color w:val="193E72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C35C45">
                              <w:rPr>
                                <w:color w:val="193E72"/>
                                <w:sz w:val="28"/>
                                <w:szCs w:val="28"/>
                              </w:rPr>
                              <w:t>Novembe</w:t>
                            </w:r>
                            <w:r w:rsidRPr="0092190C">
                              <w:rPr>
                                <w:color w:val="193E72"/>
                                <w:sz w:val="28"/>
                                <w:szCs w:val="28"/>
                              </w:rPr>
                              <w:t>r 2022 Royal Armouries Museum Leeds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ED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0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Ue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" stroked="f">
                <v:textbox style="mso-fit-shape-to-text:t">
                  <w:txbxContent>
                    <w:p w:rsidR="00574144" w:rsidRPr="0092190C" w:rsidRDefault="00574144" w:rsidP="0019151E">
                      <w:pPr>
                        <w:jc w:val="center"/>
                        <w:rPr>
                          <w:b/>
                          <w:color w:val="EA5D4E"/>
                          <w:sz w:val="52"/>
                          <w:szCs w:val="52"/>
                        </w:rPr>
                      </w:pPr>
                      <w:r w:rsidRPr="0092190C">
                        <w:rPr>
                          <w:b/>
                          <w:color w:val="EA5D4E"/>
                          <w:sz w:val="52"/>
                          <w:szCs w:val="52"/>
                        </w:rPr>
                        <w:t>SurgTech 2022</w:t>
                      </w:r>
                    </w:p>
                    <w:p w:rsidR="00574144" w:rsidRPr="0092190C" w:rsidRDefault="00574144" w:rsidP="0019151E">
                      <w:pPr>
                        <w:spacing w:after="0"/>
                        <w:jc w:val="center"/>
                        <w:rPr>
                          <w:color w:val="193E72"/>
                          <w:sz w:val="28"/>
                          <w:szCs w:val="28"/>
                        </w:rPr>
                      </w:pPr>
                      <w:r w:rsidRPr="0092190C">
                        <w:rPr>
                          <w:color w:val="193E72"/>
                          <w:sz w:val="28"/>
                          <w:szCs w:val="28"/>
                        </w:rPr>
                        <w:t>Smart, Digital, Sustainable</w:t>
                      </w:r>
                    </w:p>
                    <w:p w:rsidR="00574144" w:rsidRPr="0092190C" w:rsidRDefault="00574144" w:rsidP="0019151E">
                      <w:pPr>
                        <w:spacing w:after="0"/>
                        <w:jc w:val="center"/>
                        <w:rPr>
                          <w:color w:val="193E72"/>
                          <w:sz w:val="28"/>
                          <w:szCs w:val="28"/>
                        </w:rPr>
                      </w:pPr>
                      <w:r w:rsidRPr="0092190C">
                        <w:rPr>
                          <w:color w:val="193E72"/>
                          <w:sz w:val="28"/>
                          <w:szCs w:val="28"/>
                        </w:rPr>
                        <w:t>Wednesday 23</w:t>
                      </w:r>
                      <w:r w:rsidRPr="0092190C">
                        <w:rPr>
                          <w:color w:val="193E72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19151E">
                        <w:rPr>
                          <w:color w:val="193E72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C35C45">
                        <w:rPr>
                          <w:color w:val="193E72"/>
                          <w:sz w:val="28"/>
                          <w:szCs w:val="28"/>
                        </w:rPr>
                        <w:t>Novembe</w:t>
                      </w:r>
                      <w:r w:rsidRPr="0092190C">
                        <w:rPr>
                          <w:color w:val="193E72"/>
                          <w:sz w:val="28"/>
                          <w:szCs w:val="28"/>
                        </w:rPr>
                        <w:t>r 2022 Royal Armouries Museum Leeds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4144" w:rsidRPr="008D1D16" w:rsidRDefault="00574144" w:rsidP="00574144">
      <w:pPr>
        <w:jc w:val="center"/>
        <w:rPr>
          <w:rFonts w:cstheme="minorHAnsi"/>
          <w:b/>
        </w:rPr>
      </w:pPr>
      <w:r w:rsidRPr="008D1D16">
        <w:rPr>
          <w:rFonts w:cstheme="minorHAnsi"/>
          <w:b/>
        </w:rPr>
        <w:t>Registration opening soon</w:t>
      </w:r>
    </w:p>
    <w:p w:rsidR="00574144" w:rsidRPr="008D1D16" w:rsidRDefault="00574144" w:rsidP="00574144">
      <w:pPr>
        <w:rPr>
          <w:rFonts w:cstheme="minorHAnsi"/>
        </w:rPr>
      </w:pPr>
      <w:r w:rsidRPr="008D1D16">
        <w:rPr>
          <w:rFonts w:cstheme="minorHAnsi"/>
        </w:rPr>
        <w:t xml:space="preserve">The Surgical MIC is part of the National Institute for Health Research (NIHR) and exists to accelerate the development of novel medical devices and healthcare technologies for colorectal, </w:t>
      </w:r>
      <w:proofErr w:type="spellStart"/>
      <w:r w:rsidRPr="008D1D16">
        <w:rPr>
          <w:rFonts w:cstheme="minorHAnsi"/>
        </w:rPr>
        <w:t>hepatopancreaticobiliary</w:t>
      </w:r>
      <w:proofErr w:type="spellEnd"/>
      <w:r w:rsidRPr="008D1D16">
        <w:rPr>
          <w:rFonts w:cstheme="minorHAnsi"/>
        </w:rPr>
        <w:t xml:space="preserve"> (HPB), vascular and neurosurgery. Our clinical interests are underpinned by academic research excellence in engineering (minimally invasive devices, material/surface sciences, computer and robotic assistance), nanotechnology (drug delivery, image-guidance, </w:t>
      </w:r>
      <w:proofErr w:type="spellStart"/>
      <w:proofErr w:type="gramStart"/>
      <w:r w:rsidRPr="008D1D16">
        <w:rPr>
          <w:rFonts w:cstheme="minorHAnsi"/>
        </w:rPr>
        <w:t>theranostics</w:t>
      </w:r>
      <w:proofErr w:type="spellEnd"/>
      <w:proofErr w:type="gramEnd"/>
      <w:r w:rsidRPr="008D1D16">
        <w:rPr>
          <w:rFonts w:cstheme="minorHAnsi"/>
        </w:rPr>
        <w:t xml:space="preserve">), </w:t>
      </w:r>
      <w:proofErr w:type="spellStart"/>
      <w:r w:rsidRPr="008D1D16">
        <w:rPr>
          <w:rFonts w:cstheme="minorHAnsi"/>
        </w:rPr>
        <w:t>biosensing</w:t>
      </w:r>
      <w:proofErr w:type="spellEnd"/>
      <w:r w:rsidRPr="008D1D16">
        <w:rPr>
          <w:rFonts w:cstheme="minorHAnsi"/>
        </w:rPr>
        <w:t xml:space="preserve"> (real-time bed-side diagnostics and monitoring), clinical trials and health economics methodology.</w:t>
      </w:r>
    </w:p>
    <w:p w:rsidR="00574144" w:rsidRPr="008D1D16" w:rsidRDefault="00574144" w:rsidP="00574144">
      <w:pPr>
        <w:rPr>
          <w:rFonts w:cstheme="minorHAnsi"/>
        </w:rPr>
      </w:pPr>
      <w:r w:rsidRPr="008D1D16">
        <w:rPr>
          <w:rFonts w:cstheme="minorHAnsi"/>
        </w:rPr>
        <w:t>SurgTech 2022 is an opportunity for delegates to network and create new multidisciplinary collaborations and secondly to stimulate development of innovative ideas to address challenges in surgery.</w:t>
      </w:r>
    </w:p>
    <w:p w:rsidR="00574144" w:rsidRPr="008D1D16" w:rsidRDefault="00574144" w:rsidP="00574144">
      <w:pPr>
        <w:rPr>
          <w:rFonts w:cstheme="minorHAnsi"/>
        </w:rPr>
      </w:pPr>
      <w:r w:rsidRPr="008D1D16">
        <w:rPr>
          <w:rFonts w:cstheme="minorHAnsi"/>
        </w:rPr>
        <w:t>This year’s theme is “Digital, Smart, Sustainable” and focuses on future technologies for surgery under these themes. We would like delegates to:</w:t>
      </w:r>
    </w:p>
    <w:p w:rsidR="00574144" w:rsidRPr="008D1D16" w:rsidRDefault="00574144" w:rsidP="00574144">
      <w:pPr>
        <w:rPr>
          <w:rFonts w:cstheme="minorHAnsi"/>
        </w:rPr>
      </w:pPr>
      <w:r w:rsidRPr="008D1D16">
        <w:rPr>
          <w:rFonts w:cstheme="minorHAnsi"/>
        </w:rPr>
        <w:t>Hear from our keynote speakers on future policy for technologies in these themes</w:t>
      </w:r>
    </w:p>
    <w:p w:rsidR="00574144" w:rsidRPr="008D1D16" w:rsidRDefault="00574144" w:rsidP="00574144">
      <w:pPr>
        <w:rPr>
          <w:rFonts w:cstheme="minorHAnsi"/>
        </w:rPr>
      </w:pPr>
      <w:r w:rsidRPr="008D1D16">
        <w:rPr>
          <w:rFonts w:cstheme="minorHAnsi"/>
        </w:rPr>
        <w:t>Have the opportunity to network and discuss collaborations with potential partners</w:t>
      </w:r>
    </w:p>
    <w:p w:rsidR="00574144" w:rsidRPr="008D1D16" w:rsidRDefault="00574144" w:rsidP="00574144">
      <w:pPr>
        <w:rPr>
          <w:rFonts w:cstheme="minorHAnsi"/>
        </w:rPr>
      </w:pPr>
      <w:r w:rsidRPr="008D1D16">
        <w:rPr>
          <w:rFonts w:cstheme="minorHAnsi"/>
        </w:rPr>
        <w:t>Gain an overview of current Surgical MIC projects and how we have accelerated research collaborations</w:t>
      </w:r>
    </w:p>
    <w:p w:rsidR="00574144" w:rsidRPr="008D1D16" w:rsidRDefault="00574144" w:rsidP="00574144">
      <w:pPr>
        <w:rPr>
          <w:rFonts w:cstheme="minorHAnsi"/>
          <w:b/>
        </w:rPr>
      </w:pPr>
    </w:p>
    <w:p w:rsidR="00574144" w:rsidRPr="008D1D16" w:rsidRDefault="00574144" w:rsidP="00574144">
      <w:pPr>
        <w:rPr>
          <w:rFonts w:cstheme="minorHAnsi"/>
          <w:b/>
        </w:rPr>
      </w:pPr>
      <w:r w:rsidRPr="008D1D16">
        <w:rPr>
          <w:rFonts w:cstheme="minorHAnsi"/>
          <w:b/>
        </w:rPr>
        <w:t>Policy Keynote Speakers:</w:t>
      </w:r>
    </w:p>
    <w:p w:rsidR="00574144" w:rsidRPr="008D1D16" w:rsidRDefault="00574144" w:rsidP="00574144">
      <w:pPr>
        <w:pStyle w:val="ListParagraph"/>
        <w:numPr>
          <w:ilvl w:val="0"/>
          <w:numId w:val="1"/>
        </w:numPr>
        <w:rPr>
          <w:rFonts w:cstheme="minorHAnsi"/>
        </w:rPr>
      </w:pPr>
      <w:r w:rsidRPr="008D1D16">
        <w:rPr>
          <w:rFonts w:cstheme="minorHAnsi"/>
        </w:rPr>
        <w:t>Mark Chapman - Interim Director of Medical Technology, NICE</w:t>
      </w:r>
    </w:p>
    <w:p w:rsidR="00574144" w:rsidRPr="008D1D16" w:rsidRDefault="00574144" w:rsidP="00574144">
      <w:pPr>
        <w:pStyle w:val="ListParagraph"/>
        <w:numPr>
          <w:ilvl w:val="0"/>
          <w:numId w:val="1"/>
        </w:numPr>
        <w:rPr>
          <w:rFonts w:cstheme="minorHAnsi"/>
        </w:rPr>
      </w:pPr>
      <w:r w:rsidRPr="008D1D16">
        <w:rPr>
          <w:rFonts w:cstheme="minorHAnsi"/>
        </w:rPr>
        <w:t xml:space="preserve">Matt Chapman/Mehdi </w:t>
      </w:r>
      <w:proofErr w:type="spellStart"/>
      <w:r w:rsidRPr="008D1D16">
        <w:rPr>
          <w:rFonts w:cstheme="minorHAnsi"/>
        </w:rPr>
        <w:t>Takavoli</w:t>
      </w:r>
      <w:proofErr w:type="spellEnd"/>
      <w:r w:rsidRPr="008D1D16">
        <w:rPr>
          <w:rFonts w:cstheme="minorHAnsi"/>
        </w:rPr>
        <w:t xml:space="preserve"> - KTN Innovate UK</w:t>
      </w:r>
    </w:p>
    <w:p w:rsidR="00574144" w:rsidRPr="008D1D16" w:rsidRDefault="00574144" w:rsidP="00574144">
      <w:pPr>
        <w:pStyle w:val="ListParagraph"/>
        <w:numPr>
          <w:ilvl w:val="0"/>
          <w:numId w:val="1"/>
        </w:numPr>
        <w:rPr>
          <w:rFonts w:cstheme="minorHAnsi"/>
        </w:rPr>
      </w:pPr>
      <w:r w:rsidRPr="008D1D16">
        <w:rPr>
          <w:rFonts w:cstheme="minorHAnsi"/>
        </w:rPr>
        <w:t>Pete Waddingham - NetZero Lead, AHSN Network</w:t>
      </w:r>
    </w:p>
    <w:p w:rsidR="00574144" w:rsidRPr="008D1D16" w:rsidRDefault="00574144" w:rsidP="00574144">
      <w:pPr>
        <w:rPr>
          <w:rFonts w:cstheme="minorHAnsi"/>
          <w:b/>
        </w:rPr>
      </w:pPr>
      <w:r w:rsidRPr="008D1D16">
        <w:rPr>
          <w:rFonts w:cstheme="minorHAnsi"/>
          <w:b/>
        </w:rPr>
        <w:t>Tech Keynote Speakers:</w:t>
      </w:r>
    </w:p>
    <w:p w:rsidR="00574144" w:rsidRPr="008D1D16" w:rsidRDefault="00574144" w:rsidP="00574144">
      <w:pPr>
        <w:pStyle w:val="ListParagraph"/>
        <w:numPr>
          <w:ilvl w:val="0"/>
          <w:numId w:val="2"/>
        </w:numPr>
        <w:rPr>
          <w:rFonts w:cstheme="minorHAnsi"/>
        </w:rPr>
      </w:pPr>
      <w:r w:rsidRPr="008D1D16">
        <w:rPr>
          <w:rFonts w:cstheme="minorHAnsi"/>
        </w:rPr>
        <w:t>Dr Owen Johnson - Assistant Professor in Digital Health, University of Leeds</w:t>
      </w:r>
    </w:p>
    <w:p w:rsidR="00574144" w:rsidRPr="008D1D16" w:rsidRDefault="00574144" w:rsidP="00574144">
      <w:pPr>
        <w:pStyle w:val="ListParagraph"/>
        <w:numPr>
          <w:ilvl w:val="0"/>
          <w:numId w:val="2"/>
        </w:numPr>
        <w:rPr>
          <w:rFonts w:cstheme="minorHAnsi"/>
        </w:rPr>
      </w:pPr>
      <w:r w:rsidRPr="008D1D16">
        <w:rPr>
          <w:rFonts w:cstheme="minorHAnsi"/>
        </w:rPr>
        <w:t xml:space="preserve">Prof Philip </w:t>
      </w:r>
      <w:proofErr w:type="spellStart"/>
      <w:r w:rsidRPr="008D1D16">
        <w:rPr>
          <w:rFonts w:cstheme="minorHAnsi"/>
        </w:rPr>
        <w:t>Breedon</w:t>
      </w:r>
      <w:proofErr w:type="spellEnd"/>
      <w:r w:rsidRPr="008D1D16">
        <w:rPr>
          <w:rFonts w:cstheme="minorHAnsi"/>
        </w:rPr>
        <w:t xml:space="preserve"> - Professor of Smart Technologies, Nottingham Trent University</w:t>
      </w:r>
    </w:p>
    <w:p w:rsidR="00574144" w:rsidRPr="008D1D16" w:rsidRDefault="00574144" w:rsidP="00574144">
      <w:pPr>
        <w:pStyle w:val="ListParagraph"/>
        <w:numPr>
          <w:ilvl w:val="0"/>
          <w:numId w:val="2"/>
        </w:numPr>
        <w:rPr>
          <w:rFonts w:cstheme="minorHAnsi"/>
        </w:rPr>
      </w:pPr>
      <w:r w:rsidRPr="008D1D16">
        <w:rPr>
          <w:rFonts w:cstheme="minorHAnsi"/>
        </w:rPr>
        <w:t>Prof Shahin Rahimifard - Professor of Sustainable Engineering, Loughborough University</w:t>
      </w:r>
    </w:p>
    <w:p w:rsidR="00574144" w:rsidRPr="008D1D16" w:rsidRDefault="00574144" w:rsidP="00574144">
      <w:pPr>
        <w:rPr>
          <w:rFonts w:cstheme="minorHAnsi"/>
          <w:b/>
        </w:rPr>
      </w:pPr>
    </w:p>
    <w:p w:rsidR="00574144" w:rsidRPr="008D1D16" w:rsidRDefault="00574144" w:rsidP="00574144">
      <w:pPr>
        <w:rPr>
          <w:rFonts w:cstheme="minorHAnsi"/>
          <w:b/>
        </w:rPr>
      </w:pPr>
      <w:r w:rsidRPr="008D1D16">
        <w:rPr>
          <w:rFonts w:cstheme="minorHAnsi"/>
          <w:b/>
        </w:rPr>
        <w:t xml:space="preserve">Event Showcases - SMEs developing Digital/Smart/Sustainable Tech with MIC </w:t>
      </w:r>
    </w:p>
    <w:p w:rsidR="00574144" w:rsidRPr="008D1D16" w:rsidRDefault="00574144" w:rsidP="00574144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8D1D16">
        <w:rPr>
          <w:rFonts w:cstheme="minorHAnsi"/>
        </w:rPr>
        <w:t>VastMindz</w:t>
      </w:r>
      <w:proofErr w:type="spellEnd"/>
      <w:r w:rsidRPr="008D1D16">
        <w:rPr>
          <w:rFonts w:cstheme="minorHAnsi"/>
        </w:rPr>
        <w:t xml:space="preserve"> (Digital)</w:t>
      </w:r>
    </w:p>
    <w:p w:rsidR="00574144" w:rsidRPr="008D1D16" w:rsidRDefault="00574144" w:rsidP="00574144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8D1D16">
        <w:rPr>
          <w:rFonts w:cstheme="minorHAnsi"/>
        </w:rPr>
        <w:t>HyperVision</w:t>
      </w:r>
      <w:proofErr w:type="spellEnd"/>
      <w:r w:rsidRPr="008D1D16">
        <w:rPr>
          <w:rFonts w:cstheme="minorHAnsi"/>
        </w:rPr>
        <w:t xml:space="preserve"> (Smart)</w:t>
      </w:r>
    </w:p>
    <w:p w:rsidR="00574144" w:rsidRPr="008D1D16" w:rsidRDefault="00574144" w:rsidP="00574144">
      <w:pPr>
        <w:pStyle w:val="ListParagraph"/>
        <w:numPr>
          <w:ilvl w:val="0"/>
          <w:numId w:val="3"/>
        </w:numPr>
        <w:rPr>
          <w:rFonts w:cstheme="minorHAnsi"/>
        </w:rPr>
      </w:pPr>
      <w:r w:rsidRPr="008D1D16">
        <w:rPr>
          <w:rFonts w:cstheme="minorHAnsi"/>
        </w:rPr>
        <w:t>Revolution ZERO (Sustainable)</w:t>
      </w:r>
    </w:p>
    <w:p w:rsidR="00574144" w:rsidRPr="008D1D16" w:rsidRDefault="00574144" w:rsidP="00574144">
      <w:pPr>
        <w:pStyle w:val="ListParagraph"/>
        <w:numPr>
          <w:ilvl w:val="0"/>
          <w:numId w:val="3"/>
        </w:numPr>
        <w:rPr>
          <w:rFonts w:cstheme="minorHAnsi"/>
        </w:rPr>
      </w:pPr>
      <w:r w:rsidRPr="008D1D16">
        <w:rPr>
          <w:rFonts w:cstheme="minorHAnsi"/>
        </w:rPr>
        <w:t>TASHA (Digital)</w:t>
      </w:r>
    </w:p>
    <w:p w:rsidR="0057400B" w:rsidRDefault="00574144" w:rsidP="00574144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8D1D16">
        <w:rPr>
          <w:rFonts w:cstheme="minorHAnsi"/>
        </w:rPr>
        <w:t>SamanTree</w:t>
      </w:r>
      <w:proofErr w:type="spellEnd"/>
      <w:r w:rsidRPr="008D1D16">
        <w:rPr>
          <w:rFonts w:cstheme="minorHAnsi"/>
        </w:rPr>
        <w:t xml:space="preserve"> (Smart)</w:t>
      </w:r>
    </w:p>
    <w:p w:rsidR="0019151E" w:rsidRPr="008D1D16" w:rsidRDefault="0019151E" w:rsidP="0057414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Project Carbon</w:t>
      </w:r>
    </w:p>
    <w:p w:rsidR="008D1D16" w:rsidRPr="008D1D16" w:rsidRDefault="008D1D16" w:rsidP="008D1D16">
      <w:pPr>
        <w:pStyle w:val="ListParagraph"/>
        <w:rPr>
          <w:rFonts w:cstheme="minorHAnsi"/>
        </w:rPr>
      </w:pPr>
    </w:p>
    <w:p w:rsidR="008D1D16" w:rsidRPr="008D1D16" w:rsidRDefault="008D1D16" w:rsidP="008D1D16">
      <w:pPr>
        <w:pStyle w:val="ListParagraph"/>
        <w:rPr>
          <w:rFonts w:cstheme="minorHAnsi"/>
        </w:rPr>
      </w:pPr>
    </w:p>
    <w:p w:rsidR="008D1D16" w:rsidRPr="008D1D16" w:rsidRDefault="008D1D16" w:rsidP="008D1D16">
      <w:pPr>
        <w:rPr>
          <w:rFonts w:cstheme="minorHAnsi"/>
          <w:b/>
        </w:rPr>
      </w:pPr>
      <w:r w:rsidRPr="008D1D16">
        <w:rPr>
          <w:rFonts w:cstheme="minorHAnsi"/>
          <w:b/>
        </w:rPr>
        <w:lastRenderedPageBreak/>
        <w:t>Sponsorship Packages Available</w:t>
      </w:r>
    </w:p>
    <w:p w:rsidR="008D1D16" w:rsidRPr="008D1D16" w:rsidRDefault="008D1D16" w:rsidP="008D1D16">
      <w:pPr>
        <w:rPr>
          <w:rFonts w:cstheme="minorHAnsi"/>
          <w:b/>
        </w:rPr>
      </w:pPr>
      <w:r w:rsidRPr="008D1D16">
        <w:rPr>
          <w:rFonts w:cstheme="minorHAnsi"/>
          <w:b/>
        </w:rPr>
        <w:t>Platinum Sponsor - £5,000</w:t>
      </w:r>
    </w:p>
    <w:p w:rsidR="008D1D16" w:rsidRPr="008D1D16" w:rsidRDefault="008D1D16" w:rsidP="008D1D16">
      <w:pPr>
        <w:pStyle w:val="ListParagraph"/>
        <w:numPr>
          <w:ilvl w:val="0"/>
          <w:numId w:val="5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Opportunity to present a 10-minute innovation showcase on either digital, smart or sustainable initiatives in your organisation as part of main event programme</w:t>
      </w:r>
    </w:p>
    <w:p w:rsidR="008D1D16" w:rsidRPr="008D1D16" w:rsidRDefault="008D1D16" w:rsidP="008D1D16">
      <w:pPr>
        <w:pStyle w:val="ListParagraph"/>
        <w:numPr>
          <w:ilvl w:val="0"/>
          <w:numId w:val="5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4 delegate invitations to pre-event dinner on Tuesday, 22nd November with surgeons and clinical stakeholders</w:t>
      </w:r>
    </w:p>
    <w:p w:rsidR="008D1D16" w:rsidRPr="008D1D16" w:rsidRDefault="008D1D16" w:rsidP="008D1D16">
      <w:pPr>
        <w:pStyle w:val="ListParagraph"/>
        <w:numPr>
          <w:ilvl w:val="0"/>
          <w:numId w:val="5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Acknowledgement and priority logo display in digital communications i.e. social media, website and blogs</w:t>
      </w:r>
    </w:p>
    <w:p w:rsidR="008D1D16" w:rsidRPr="008D1D16" w:rsidRDefault="008D1D16" w:rsidP="008D1D16">
      <w:pPr>
        <w:pStyle w:val="ListParagraph"/>
        <w:numPr>
          <w:ilvl w:val="0"/>
          <w:numId w:val="5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Company logo featured prominently (largest company logo) on all event promotional material including event programme, badges and merchandise</w:t>
      </w:r>
    </w:p>
    <w:p w:rsidR="008D1D16" w:rsidRPr="008D1D16" w:rsidRDefault="008D1D16" w:rsidP="008D1D16">
      <w:pPr>
        <w:pStyle w:val="ListParagraph"/>
        <w:numPr>
          <w:ilvl w:val="0"/>
          <w:numId w:val="5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Priority company logo to appear on interval slides between presentations in plenary sessions</w:t>
      </w:r>
    </w:p>
    <w:p w:rsidR="008D1D16" w:rsidRPr="008D1D16" w:rsidRDefault="008D1D16" w:rsidP="008D1D16">
      <w:pPr>
        <w:pStyle w:val="ListParagraph"/>
        <w:numPr>
          <w:ilvl w:val="0"/>
          <w:numId w:val="5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Priority acknowledgment on conference printings, announcements, digital signage during the conference, electronic program and website</w:t>
      </w:r>
    </w:p>
    <w:p w:rsidR="008D1D16" w:rsidRPr="008D1D16" w:rsidRDefault="008D1D16" w:rsidP="008D1D16">
      <w:pPr>
        <w:pStyle w:val="ListParagraph"/>
        <w:numPr>
          <w:ilvl w:val="0"/>
          <w:numId w:val="5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Exhibition stand, banners at the welcome, coffee and lunch stands</w:t>
      </w:r>
    </w:p>
    <w:p w:rsidR="008D1D16" w:rsidRPr="008D1D16" w:rsidRDefault="008D1D16" w:rsidP="008D1D16">
      <w:pPr>
        <w:rPr>
          <w:rFonts w:cstheme="minorHAnsi"/>
          <w:b/>
        </w:rPr>
      </w:pPr>
      <w:r w:rsidRPr="008D1D16">
        <w:rPr>
          <w:rFonts w:cstheme="minorHAnsi"/>
          <w:b/>
        </w:rPr>
        <w:t>Gold Sponsor - £3,000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2 delegate invitations to pre-event dinner on Tuesday, 22nd November with surgeons and clinical stakeholders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Acknowledgement and priority logo display in digital communications i.e. social media, website and blogs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Company logo featured prominently on all event promotional material including event programme, badges and merchandise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Company logo to appear on interval slides between presentations in plenary sessions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A table stand in a prominent place at the National Meeting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Banners at the welcome coffee and lunch stands</w:t>
      </w:r>
    </w:p>
    <w:p w:rsidR="008D1D16" w:rsidRPr="008D1D16" w:rsidRDefault="008D1D16" w:rsidP="008D1D16">
      <w:pPr>
        <w:rPr>
          <w:rFonts w:cstheme="minorHAnsi"/>
          <w:b/>
        </w:rPr>
      </w:pPr>
      <w:r w:rsidRPr="008D1D16">
        <w:rPr>
          <w:rFonts w:cstheme="minorHAnsi"/>
          <w:b/>
        </w:rPr>
        <w:t>Silver Sponsor - £1,500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Company logo featured on event programme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Company logo to appear on interval slides between presentations in plenary sessions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A table stand in networking area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Banners at the registration desk, coffee and lunch stands</w:t>
      </w:r>
    </w:p>
    <w:p w:rsidR="008D1D16" w:rsidRPr="008D1D16" w:rsidRDefault="008D1D16" w:rsidP="008D1D16">
      <w:pPr>
        <w:rPr>
          <w:rFonts w:cstheme="minorHAnsi"/>
        </w:rPr>
      </w:pPr>
    </w:p>
    <w:p w:rsidR="008D1D16" w:rsidRPr="008D1D16" w:rsidRDefault="008D1D16" w:rsidP="008D1D16">
      <w:pPr>
        <w:rPr>
          <w:rFonts w:cstheme="minorHAnsi"/>
          <w:b/>
        </w:rPr>
      </w:pPr>
      <w:r w:rsidRPr="008D1D16">
        <w:rPr>
          <w:rFonts w:cstheme="minorHAnsi"/>
          <w:b/>
        </w:rPr>
        <w:t>Why Should You Sponsor?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Show case your organisation to the current key players and collaborators in the national network advancing surgical care and technology dissemination in the NHS.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Interact with key opinion leaders from academia, the NHS and industry on key research issues.</w:t>
      </w:r>
    </w:p>
    <w:p w:rsidR="008D1D16" w:rsidRP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>Network with other sponsors and develop relationships beneficial to your company.</w:t>
      </w:r>
    </w:p>
    <w:p w:rsidR="008D1D16" w:rsidRDefault="008D1D16" w:rsidP="008D1D16">
      <w:pPr>
        <w:pStyle w:val="ListParagraph"/>
        <w:numPr>
          <w:ilvl w:val="1"/>
          <w:numId w:val="2"/>
        </w:numPr>
        <w:ind w:left="709" w:hanging="425"/>
        <w:rPr>
          <w:rFonts w:cstheme="minorHAnsi"/>
        </w:rPr>
      </w:pPr>
      <w:r w:rsidRPr="008D1D16">
        <w:rPr>
          <w:rFonts w:cstheme="minorHAnsi"/>
        </w:rPr>
        <w:t xml:space="preserve">Sponsorship money is used to support our early career innovators programme, the MedTech Foundation, and you could support students and trainees to attend innovation workshops, research internships, </w:t>
      </w:r>
      <w:proofErr w:type="gramStart"/>
      <w:r w:rsidRPr="008D1D16">
        <w:rPr>
          <w:rFonts w:cstheme="minorHAnsi"/>
        </w:rPr>
        <w:t>education</w:t>
      </w:r>
      <w:proofErr w:type="gramEnd"/>
      <w:r w:rsidRPr="008D1D16">
        <w:rPr>
          <w:rFonts w:cstheme="minorHAnsi"/>
        </w:rPr>
        <w:t xml:space="preserve"> and engagement activities hosted by the MIC. Finally, you could support MedTech Foundation Scholars to undertake research internships, gaining recognition in reports and outputs.</w:t>
      </w: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  <w:sz w:val="28"/>
          <w:szCs w:val="28"/>
        </w:rPr>
      </w:pPr>
    </w:p>
    <w:p w:rsidR="0019151E" w:rsidRDefault="0019151E" w:rsidP="0019151E">
      <w:pPr>
        <w:pStyle w:val="ListParagraph"/>
        <w:rPr>
          <w:rFonts w:cstheme="minorHAnsi"/>
          <w:sz w:val="28"/>
          <w:szCs w:val="28"/>
        </w:rPr>
      </w:pPr>
    </w:p>
    <w:p w:rsidR="0019151E" w:rsidRDefault="0019151E" w:rsidP="0019151E">
      <w:pPr>
        <w:pStyle w:val="ListParagraph"/>
        <w:rPr>
          <w:rFonts w:cstheme="minorHAnsi"/>
          <w:sz w:val="28"/>
          <w:szCs w:val="28"/>
        </w:rPr>
      </w:pPr>
    </w:p>
    <w:p w:rsidR="0019151E" w:rsidRDefault="0019151E" w:rsidP="0019151E">
      <w:pPr>
        <w:pStyle w:val="ListParagraph"/>
        <w:rPr>
          <w:rFonts w:cstheme="minorHAnsi"/>
          <w:sz w:val="28"/>
          <w:szCs w:val="28"/>
        </w:rPr>
      </w:pPr>
    </w:p>
    <w:p w:rsidR="0019151E" w:rsidRDefault="0019151E" w:rsidP="0019151E">
      <w:pPr>
        <w:pStyle w:val="ListParagraph"/>
        <w:rPr>
          <w:rFonts w:cstheme="minorHAnsi"/>
          <w:sz w:val="28"/>
          <w:szCs w:val="28"/>
        </w:rPr>
      </w:pPr>
    </w:p>
    <w:p w:rsidR="0019151E" w:rsidRPr="0019151E" w:rsidRDefault="0019151E" w:rsidP="0019151E">
      <w:pPr>
        <w:pStyle w:val="ListParagraph"/>
        <w:rPr>
          <w:rFonts w:cstheme="minorHAnsi"/>
          <w:sz w:val="28"/>
          <w:szCs w:val="28"/>
        </w:rPr>
      </w:pPr>
    </w:p>
    <w:p w:rsidR="0019151E" w:rsidRPr="0019151E" w:rsidRDefault="0019151E" w:rsidP="0019151E">
      <w:pPr>
        <w:pStyle w:val="ListParagraph"/>
        <w:rPr>
          <w:rFonts w:cstheme="minorHAnsi"/>
          <w:sz w:val="28"/>
          <w:szCs w:val="28"/>
        </w:rPr>
      </w:pPr>
      <w:r w:rsidRPr="0019151E">
        <w:rPr>
          <w:rFonts w:cstheme="minorHAnsi"/>
          <w:sz w:val="28"/>
          <w:szCs w:val="28"/>
        </w:rPr>
        <w:t>Gold Sponsors</w:t>
      </w:r>
    </w:p>
    <w:p w:rsidR="0019151E" w:rsidRPr="0019151E" w:rsidRDefault="0019151E" w:rsidP="0019151E">
      <w:pPr>
        <w:pStyle w:val="ListParagraph"/>
        <w:rPr>
          <w:rFonts w:cstheme="minorHAnsi"/>
          <w:sz w:val="28"/>
          <w:szCs w:val="28"/>
        </w:rPr>
      </w:pPr>
    </w:p>
    <w:p w:rsidR="0019151E" w:rsidRDefault="0019151E" w:rsidP="0019151E">
      <w:pPr>
        <w:pStyle w:val="ListParagraph"/>
        <w:rPr>
          <w:rFonts w:cstheme="minorHAns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873250" cy="751527"/>
            <wp:effectExtent l="0" t="0" r="0" b="0"/>
            <wp:wrapSquare wrapText="bothSides"/>
            <wp:docPr id="1" name="Picture 1" descr="cid:image018.png@01D89C31.E7E2F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8.png@01D89C31.E7E2F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Pr="0019151E" w:rsidRDefault="0019151E" w:rsidP="0019151E">
      <w:pPr>
        <w:pStyle w:val="ListParagraph"/>
        <w:rPr>
          <w:rFonts w:cstheme="minorHAnsi"/>
          <w:b/>
          <w:sz w:val="24"/>
          <w:szCs w:val="24"/>
        </w:rPr>
      </w:pPr>
      <w:r w:rsidRPr="0019151E">
        <w:rPr>
          <w:rFonts w:cstheme="minorHAnsi"/>
          <w:b/>
          <w:sz w:val="24"/>
          <w:szCs w:val="24"/>
        </w:rPr>
        <w:t>Silver Sponsors</w:t>
      </w:r>
    </w:p>
    <w:p w:rsidR="0019151E" w:rsidRPr="0019151E" w:rsidRDefault="0019151E" w:rsidP="0019151E">
      <w:pPr>
        <w:pStyle w:val="ListParagraph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202565</wp:posOffset>
            </wp:positionV>
            <wp:extent cx="889000" cy="5524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Pr="0019151E" w:rsidRDefault="0019151E" w:rsidP="0019151E">
      <w:pPr>
        <w:pStyle w:val="ListParagraph"/>
        <w:rPr>
          <w:rFonts w:cstheme="minorHAnsi"/>
          <w:b/>
        </w:rPr>
      </w:pPr>
      <w:r w:rsidRPr="0019151E">
        <w:rPr>
          <w:rFonts w:cstheme="minorHAnsi"/>
          <w:b/>
        </w:rPr>
        <w:t>Exhibition Stands</w:t>
      </w: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127635</wp:posOffset>
            </wp:positionV>
            <wp:extent cx="2159111" cy="4572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111" cy="45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   </w:t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635</wp:posOffset>
            </wp:positionV>
            <wp:extent cx="1708150" cy="586740"/>
            <wp:effectExtent l="0" t="0" r="0" b="0"/>
            <wp:wrapSquare wrapText="bothSides"/>
            <wp:docPr id="6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        </w:t>
      </w: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Default="0019151E" w:rsidP="0019151E">
      <w:pPr>
        <w:pStyle w:val="ListParagraph"/>
        <w:rPr>
          <w:rFonts w:cstheme="minorHAnsi"/>
        </w:rPr>
      </w:pPr>
    </w:p>
    <w:p w:rsidR="0019151E" w:rsidRPr="008D1D16" w:rsidRDefault="0019151E" w:rsidP="0019151E">
      <w:pPr>
        <w:pStyle w:val="ListParagraph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216535</wp:posOffset>
            </wp:positionV>
            <wp:extent cx="2108200" cy="619413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1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331470</wp:posOffset>
            </wp:positionV>
            <wp:extent cx="2069465" cy="412750"/>
            <wp:effectExtent l="0" t="0" r="6985" b="6350"/>
            <wp:wrapSquare wrapText="bothSides"/>
            <wp:docPr id="4" name="Picture 2" descr="Innovation Pop 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on Pop Up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51E" w:rsidRPr="008D1D16" w:rsidSect="00574144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B9E"/>
    <w:multiLevelType w:val="hybridMultilevel"/>
    <w:tmpl w:val="70DA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487"/>
    <w:multiLevelType w:val="hybridMultilevel"/>
    <w:tmpl w:val="9600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14D"/>
    <w:multiLevelType w:val="hybridMultilevel"/>
    <w:tmpl w:val="3682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862"/>
    <w:multiLevelType w:val="hybridMultilevel"/>
    <w:tmpl w:val="A8E622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520886"/>
    <w:multiLevelType w:val="hybridMultilevel"/>
    <w:tmpl w:val="7F2E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046AD"/>
    <w:multiLevelType w:val="hybridMultilevel"/>
    <w:tmpl w:val="3314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2209"/>
    <w:multiLevelType w:val="hybridMultilevel"/>
    <w:tmpl w:val="C406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162"/>
    <w:multiLevelType w:val="hybridMultilevel"/>
    <w:tmpl w:val="2872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EFC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44"/>
    <w:rsid w:val="0019151E"/>
    <w:rsid w:val="001D2CBE"/>
    <w:rsid w:val="0057400B"/>
    <w:rsid w:val="00574144"/>
    <w:rsid w:val="008D1D16"/>
    <w:rsid w:val="00C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3DB2"/>
  <w15:chartTrackingRefBased/>
  <w15:docId w15:val="{0E3A7A99-AE74-440F-9D99-57BDAEA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Boyes</dc:creator>
  <cp:keywords/>
  <dc:description/>
  <cp:lastModifiedBy>Sheila Boyes</cp:lastModifiedBy>
  <cp:revision>5</cp:revision>
  <dcterms:created xsi:type="dcterms:W3CDTF">2022-08-16T09:26:00Z</dcterms:created>
  <dcterms:modified xsi:type="dcterms:W3CDTF">2022-09-30T10:51:00Z</dcterms:modified>
</cp:coreProperties>
</file>